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Определение квантили функции распределения случайной величины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Определение сходимости по вероятности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Формулировка теоремы о связи между пуассоновскими и геометрическими случайными суммами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Определение коэффициента эксцесса. Свойство коэффициента эксцесса.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Определение интерквантильного размаха.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Формулировка теоремы о распределениях с наибольшей дифференциальной энтропией.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Формулировка критерия сходимости одномерных распределений обобщенных процессов Кокса к строго устойчивым законам.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Определение математического ожидания. Формулы вычисления в дискретном и абсолютно непрерывном случае.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Формулировка условия Линдерберга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Пуассоновская случайная сумма. Формулировка ЦПТ для пуассоновских случайных сумм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Оценка расстояния между чистым нормальным законом и двухкомпонентной смеси двух нормальных законов через расстояние Леви между двухточечным смешивающим распределением и вырожденным распределением (масштабная смесь) (без док-ва)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highlight w:val="white"/>
          <w:rtl w:val="0"/>
        </w:rPr>
        <w:t xml:space="preserve">Формулировка теоремы Пуассона.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Определение смеси.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Определение ковариации.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Определение случайного процесса. Процесс с независимым приращением, однородный процесс.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Мода. Две моды(?)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Теорема Леви. </w:t>
      </w:r>
      <w:r w:rsidDel="00000000" w:rsidR="00000000" w:rsidRPr="00000000">
        <w:rPr>
          <w:b w:val="1"/>
          <w:highlight w:val="white"/>
          <w:rtl w:val="0"/>
        </w:rPr>
        <w:t xml:space="preserve">Нормировка.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Формулировка теоремы переноса.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Определение неоднородного пуассоновского процесса.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Расстояние Ливи.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ЗБЧ.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Дифференциальная энтропия.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Дать определение вероятностного пространства.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Случайные суммы и их свойства.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Независимость случайных величин.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Сходимость в среднем.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Формулировка теоремы Хинчина.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